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7B8D" w14:textId="77777777" w:rsidR="00CF5869" w:rsidRDefault="00CF5869" w:rsidP="00CF5869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 wp14:anchorId="0D788597" wp14:editId="63A9ADF2">
            <wp:extent cx="4108450" cy="126357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be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174" cy="126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78F89" w14:textId="77777777" w:rsidR="00CF5869" w:rsidRDefault="00CF5869" w:rsidP="00D17B9C">
      <w:pPr>
        <w:rPr>
          <w:rFonts w:cstheme="minorHAnsi"/>
          <w:b/>
        </w:rPr>
      </w:pPr>
    </w:p>
    <w:p w14:paraId="0CAA6746" w14:textId="77777777" w:rsidR="00D17B9C" w:rsidRPr="0055250C" w:rsidRDefault="00CF5869" w:rsidP="00CF5869">
      <w:pPr>
        <w:spacing w:line="360" w:lineRule="auto"/>
        <w:jc w:val="center"/>
        <w:rPr>
          <w:rFonts w:cstheme="minorHAnsi"/>
          <w:b/>
        </w:rPr>
      </w:pPr>
      <w:r w:rsidRPr="00A148B7">
        <w:rPr>
          <w:b/>
        </w:rPr>
        <w:t>Roles</w:t>
      </w:r>
      <w:r>
        <w:rPr>
          <w:b/>
        </w:rPr>
        <w:t xml:space="preserve"> and responsibilities of the </w:t>
      </w:r>
      <w:r w:rsidR="00D17B9C" w:rsidRPr="0055250C">
        <w:rPr>
          <w:rFonts w:cstheme="minorHAnsi"/>
          <w:b/>
        </w:rPr>
        <w:t>Vice President, Communities</w:t>
      </w:r>
    </w:p>
    <w:p w14:paraId="00488D39" w14:textId="1BB0EA62" w:rsidR="00CF5869" w:rsidRDefault="00D17B9C" w:rsidP="00D17B9C">
      <w:pPr>
        <w:rPr>
          <w:rFonts w:cstheme="minorHAnsi"/>
        </w:rPr>
      </w:pPr>
      <w:r w:rsidRPr="0055250C">
        <w:rPr>
          <w:rFonts w:cstheme="minorHAnsi"/>
        </w:rPr>
        <w:t xml:space="preserve">As part of the wider ISBE strategy for Communities of Interest (COIs) and Special Interest Groups (SIGs), </w:t>
      </w:r>
      <w:r w:rsidR="00D51025">
        <w:rPr>
          <w:rFonts w:cstheme="minorHAnsi"/>
        </w:rPr>
        <w:t xml:space="preserve">the VP for Communities has </w:t>
      </w:r>
      <w:r w:rsidRPr="0055250C">
        <w:rPr>
          <w:rFonts w:cstheme="minorHAnsi"/>
        </w:rPr>
        <w:t xml:space="preserve">specific responsibility for developing and maintaining these important member groups. </w:t>
      </w:r>
    </w:p>
    <w:p w14:paraId="7A5E7E4C" w14:textId="2142A2ED" w:rsidR="00D17B9C" w:rsidRDefault="00D17B9C" w:rsidP="00D17B9C">
      <w:pPr>
        <w:rPr>
          <w:rFonts w:cstheme="minorHAnsi"/>
          <w:b/>
        </w:rPr>
      </w:pPr>
      <w:r w:rsidRPr="0055250C">
        <w:rPr>
          <w:rFonts w:cstheme="minorHAnsi"/>
          <w:b/>
        </w:rPr>
        <w:t>Key responsibilities</w:t>
      </w:r>
    </w:p>
    <w:p w14:paraId="1471226F" w14:textId="03BC08F8" w:rsidR="00D51025" w:rsidRPr="0055250C" w:rsidRDefault="00D51025" w:rsidP="00D17B9C">
      <w:pPr>
        <w:rPr>
          <w:rFonts w:cstheme="minorHAnsi"/>
          <w:b/>
        </w:rPr>
      </w:pPr>
      <w:r>
        <w:rPr>
          <w:rFonts w:cstheme="minorHAnsi"/>
          <w:b/>
        </w:rPr>
        <w:t>Communities of Interest and Special Interest Groups</w:t>
      </w:r>
    </w:p>
    <w:p w14:paraId="16202B77" w14:textId="0E3E4EE5" w:rsidR="00D17B9C" w:rsidRPr="0055250C" w:rsidRDefault="00D51025" w:rsidP="00D17B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Reinvigorating and c</w:t>
      </w:r>
      <w:r w:rsidR="00D17B9C" w:rsidRPr="0055250C">
        <w:rPr>
          <w:rFonts w:cstheme="minorHAnsi"/>
        </w:rPr>
        <w:t xml:space="preserve">hairing the ISBE Communities Working Group (CWG) </w:t>
      </w:r>
    </w:p>
    <w:p w14:paraId="6B302DD9" w14:textId="77777777" w:rsidR="00D17B9C" w:rsidRPr="0055250C" w:rsidRDefault="00D17B9C" w:rsidP="00D17B9C">
      <w:pPr>
        <w:pStyle w:val="ListParagraph"/>
        <w:numPr>
          <w:ilvl w:val="0"/>
          <w:numId w:val="2"/>
        </w:numPr>
        <w:rPr>
          <w:rFonts w:cstheme="minorHAnsi"/>
        </w:rPr>
      </w:pPr>
      <w:r w:rsidRPr="0055250C">
        <w:rPr>
          <w:rFonts w:cstheme="minorHAnsi"/>
        </w:rPr>
        <w:t>Working with the CWG to assess new COI and/or SIG applications from members, supporting applicants through the process</w:t>
      </w:r>
    </w:p>
    <w:p w14:paraId="325BD1D2" w14:textId="77777777" w:rsidR="00D17B9C" w:rsidRPr="0055250C" w:rsidRDefault="00D17B9C" w:rsidP="00D17B9C">
      <w:pPr>
        <w:pStyle w:val="ListParagraph"/>
        <w:numPr>
          <w:ilvl w:val="0"/>
          <w:numId w:val="2"/>
        </w:numPr>
        <w:rPr>
          <w:rFonts w:cstheme="minorHAnsi"/>
        </w:rPr>
      </w:pPr>
      <w:r w:rsidRPr="0055250C">
        <w:rPr>
          <w:rFonts w:cstheme="minorHAnsi"/>
        </w:rPr>
        <w:t>Ensuring that all existing COIs and SIGs are mentored by a member of the CWG (or suitable nominee) so that their activity is aligned with the overall ISBE communities strategy</w:t>
      </w:r>
    </w:p>
    <w:p w14:paraId="078D4606" w14:textId="77777777" w:rsidR="00D17B9C" w:rsidRPr="0055250C" w:rsidRDefault="00D17B9C" w:rsidP="00D17B9C">
      <w:pPr>
        <w:pStyle w:val="ListParagraph"/>
        <w:numPr>
          <w:ilvl w:val="0"/>
          <w:numId w:val="1"/>
        </w:numPr>
        <w:rPr>
          <w:rFonts w:cstheme="minorHAnsi"/>
        </w:rPr>
      </w:pPr>
      <w:r w:rsidRPr="0055250C">
        <w:rPr>
          <w:rFonts w:cstheme="minorHAnsi"/>
        </w:rPr>
        <w:t>Leading an annual review of each COI and SIG and reporting results, with recommendations as necessary, to the ISBE Board</w:t>
      </w:r>
    </w:p>
    <w:p w14:paraId="51C41AC3" w14:textId="77777777" w:rsidR="00D17B9C" w:rsidRPr="0055250C" w:rsidRDefault="00D17B9C" w:rsidP="00D17B9C">
      <w:pPr>
        <w:pStyle w:val="ListParagraph"/>
        <w:numPr>
          <w:ilvl w:val="0"/>
          <w:numId w:val="1"/>
        </w:numPr>
        <w:rPr>
          <w:rFonts w:cstheme="minorHAnsi"/>
        </w:rPr>
      </w:pPr>
      <w:r w:rsidRPr="0055250C">
        <w:rPr>
          <w:rFonts w:cstheme="minorHAnsi"/>
        </w:rPr>
        <w:t>Submit</w:t>
      </w:r>
      <w:r w:rsidR="00DF0899" w:rsidRPr="0055250C">
        <w:rPr>
          <w:rFonts w:cstheme="minorHAnsi"/>
        </w:rPr>
        <w:t>ting</w:t>
      </w:r>
      <w:r w:rsidRPr="0055250C">
        <w:rPr>
          <w:rFonts w:cstheme="minorHAnsi"/>
        </w:rPr>
        <w:t xml:space="preserve"> an annual report to the ISBE Board regarding the effectiveness of ISBE’s COI and SIG communities in achieving the overall ISBE strategy, including recommendations regarding investment in these groups</w:t>
      </w:r>
    </w:p>
    <w:p w14:paraId="6B4388B9" w14:textId="77777777" w:rsidR="00DF0899" w:rsidRPr="0055250C" w:rsidRDefault="00DF0899" w:rsidP="00D17B9C">
      <w:pPr>
        <w:pStyle w:val="ListParagraph"/>
        <w:numPr>
          <w:ilvl w:val="0"/>
          <w:numId w:val="1"/>
        </w:numPr>
        <w:rPr>
          <w:rFonts w:cstheme="minorHAnsi"/>
        </w:rPr>
      </w:pPr>
      <w:r w:rsidRPr="0055250C">
        <w:rPr>
          <w:rFonts w:cstheme="minorHAnsi"/>
        </w:rPr>
        <w:t>Attending ISBE Exec meetings (normally held before ISBE Board meetings)</w:t>
      </w:r>
    </w:p>
    <w:p w14:paraId="18E111E7" w14:textId="6D1C7F13" w:rsidR="00D17B9C" w:rsidRPr="00D51025" w:rsidRDefault="00D17B9C" w:rsidP="00D17B9C">
      <w:pPr>
        <w:pStyle w:val="ListParagraph"/>
        <w:ind w:left="0"/>
        <w:rPr>
          <w:rFonts w:cstheme="minorHAnsi"/>
          <w:b/>
          <w:bCs/>
        </w:rPr>
      </w:pPr>
    </w:p>
    <w:p w14:paraId="7943F50F" w14:textId="50116861" w:rsidR="00D51025" w:rsidRDefault="00D51025" w:rsidP="00D17B9C">
      <w:pPr>
        <w:pStyle w:val="ListParagraph"/>
        <w:ind w:left="0"/>
        <w:rPr>
          <w:rFonts w:cstheme="minorHAnsi"/>
          <w:b/>
          <w:bCs/>
        </w:rPr>
      </w:pPr>
      <w:r w:rsidRPr="00D51025">
        <w:rPr>
          <w:rFonts w:cstheme="minorHAnsi"/>
          <w:b/>
          <w:bCs/>
        </w:rPr>
        <w:t>Supporting the development of other ISBE communities</w:t>
      </w:r>
    </w:p>
    <w:p w14:paraId="46DE36CE" w14:textId="55E94BA9" w:rsidR="00D51025" w:rsidRPr="00D51025" w:rsidRDefault="00D51025" w:rsidP="00D17B9C">
      <w:pPr>
        <w:pStyle w:val="ListParagraph"/>
        <w:ind w:left="0"/>
        <w:rPr>
          <w:rFonts w:cstheme="minorHAnsi"/>
        </w:rPr>
      </w:pPr>
    </w:p>
    <w:p w14:paraId="72086F87" w14:textId="02B0CB6A" w:rsidR="00D51025" w:rsidRDefault="00D51025" w:rsidP="00D51025">
      <w:pPr>
        <w:pStyle w:val="ListParagraph"/>
        <w:numPr>
          <w:ilvl w:val="0"/>
          <w:numId w:val="3"/>
        </w:numPr>
        <w:rPr>
          <w:rFonts w:cstheme="minorHAnsi"/>
        </w:rPr>
      </w:pPr>
      <w:r w:rsidRPr="00D51025">
        <w:rPr>
          <w:rFonts w:cstheme="minorHAnsi"/>
        </w:rPr>
        <w:t xml:space="preserve">Working with the other VPs and wider board of trustees, </w:t>
      </w:r>
      <w:r>
        <w:rPr>
          <w:rFonts w:cstheme="minorHAnsi"/>
        </w:rPr>
        <w:t>identify and nurture partnerships with other communities aligned with ISBE’s vision and strategy. Including, but not limited to:</w:t>
      </w:r>
    </w:p>
    <w:p w14:paraId="53784D7D" w14:textId="20559D03" w:rsidR="00D51025" w:rsidRDefault="00D51025" w:rsidP="00D5102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Sponsorship channels via other communities</w:t>
      </w:r>
    </w:p>
    <w:p w14:paraId="0F754D3E" w14:textId="18D70AEA" w:rsidR="00D51025" w:rsidRDefault="00D51025" w:rsidP="00D5102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Policy groups (in partnership with the VP Policy &amp; Practice)</w:t>
      </w:r>
    </w:p>
    <w:p w14:paraId="0CCA6058" w14:textId="76F0998C" w:rsidR="00D51025" w:rsidRDefault="00D51025" w:rsidP="00D5102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Research funders (in partnership with the VP Research)</w:t>
      </w:r>
    </w:p>
    <w:p w14:paraId="073F95D6" w14:textId="3BBD70A7" w:rsidR="00D51025" w:rsidRPr="00D51025" w:rsidRDefault="00D51025" w:rsidP="00D5102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Business owners and SMEs</w:t>
      </w:r>
    </w:p>
    <w:sectPr w:rsidR="00D51025" w:rsidRPr="00D51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A7737"/>
    <w:multiLevelType w:val="hybridMultilevel"/>
    <w:tmpl w:val="76FA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344A8"/>
    <w:multiLevelType w:val="hybridMultilevel"/>
    <w:tmpl w:val="3B94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68C9"/>
    <w:multiLevelType w:val="hybridMultilevel"/>
    <w:tmpl w:val="5F5C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9C"/>
    <w:rsid w:val="004028C4"/>
    <w:rsid w:val="00430627"/>
    <w:rsid w:val="0055250C"/>
    <w:rsid w:val="006C21E7"/>
    <w:rsid w:val="00CF5869"/>
    <w:rsid w:val="00D17B9C"/>
    <w:rsid w:val="00D51025"/>
    <w:rsid w:val="00D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AF09"/>
  <w15:chartTrackingRefBased/>
  <w15:docId w15:val="{AB3625CB-D05F-406D-B354-BF65639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9C"/>
    <w:pPr>
      <w:ind w:left="720"/>
      <w:contextualSpacing/>
    </w:pPr>
  </w:style>
  <w:style w:type="paragraph" w:customStyle="1" w:styleId="Default">
    <w:name w:val="Default"/>
    <w:rsid w:val="00552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2</cp:revision>
  <dcterms:created xsi:type="dcterms:W3CDTF">2020-11-03T15:39:00Z</dcterms:created>
  <dcterms:modified xsi:type="dcterms:W3CDTF">2020-11-03T15:39:00Z</dcterms:modified>
</cp:coreProperties>
</file>